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91" w:rsidRPr="00E34991" w:rsidRDefault="00E34991" w:rsidP="00E34991">
      <w:pPr>
        <w:ind w:right="144"/>
        <w:jc w:val="center"/>
        <w:rPr>
          <w:b/>
          <w:color w:val="000000"/>
          <w:sz w:val="26"/>
          <w:szCs w:val="26"/>
        </w:rPr>
      </w:pPr>
      <w:r w:rsidRPr="00E34991">
        <w:rPr>
          <w:b/>
          <w:color w:val="000000"/>
          <w:sz w:val="26"/>
          <w:szCs w:val="26"/>
        </w:rPr>
        <w:t>СОГЛАШЕНИЕ</w:t>
      </w:r>
    </w:p>
    <w:p w:rsidR="00E34991" w:rsidRPr="00E34991" w:rsidRDefault="00E34991" w:rsidP="00E34991">
      <w:pPr>
        <w:jc w:val="center"/>
        <w:rPr>
          <w:b/>
          <w:color w:val="000000"/>
          <w:sz w:val="26"/>
          <w:szCs w:val="26"/>
        </w:rPr>
      </w:pPr>
      <w:r w:rsidRPr="00E34991">
        <w:rPr>
          <w:b/>
          <w:color w:val="000000"/>
          <w:sz w:val="26"/>
          <w:szCs w:val="26"/>
        </w:rPr>
        <w:t xml:space="preserve">о порядке сотрудничества по программе предоставления поручительств </w:t>
      </w:r>
    </w:p>
    <w:p w:rsidR="00E34991" w:rsidRPr="00E34991" w:rsidRDefault="00E34991" w:rsidP="00E34991">
      <w:pPr>
        <w:jc w:val="center"/>
        <w:rPr>
          <w:b/>
          <w:color w:val="000000"/>
          <w:sz w:val="26"/>
          <w:szCs w:val="26"/>
        </w:rPr>
      </w:pPr>
      <w:r w:rsidRPr="00E34991">
        <w:rPr>
          <w:b/>
          <w:color w:val="000000"/>
          <w:sz w:val="26"/>
          <w:szCs w:val="26"/>
        </w:rPr>
        <w:t>по договорам о предоставлении банковской гарантии</w:t>
      </w:r>
    </w:p>
    <w:p w:rsidR="00C9323C" w:rsidRPr="00E34991" w:rsidRDefault="00C9323C" w:rsidP="001E4BAF">
      <w:pPr>
        <w:ind w:firstLine="720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4991" w:rsidRPr="00E34991" w:rsidTr="007B19CA">
        <w:tc>
          <w:tcPr>
            <w:tcW w:w="4785" w:type="dxa"/>
          </w:tcPr>
          <w:p w:rsidR="00E34991" w:rsidRPr="00E34991" w:rsidRDefault="00E34991" w:rsidP="00E34991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9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Чита</w:t>
            </w:r>
          </w:p>
        </w:tc>
        <w:tc>
          <w:tcPr>
            <w:tcW w:w="4786" w:type="dxa"/>
          </w:tcPr>
          <w:p w:rsidR="00E34991" w:rsidRPr="00E34991" w:rsidRDefault="00E34991" w:rsidP="00E34991">
            <w:pPr>
              <w:spacing w:after="120" w:line="380" w:lineRule="atLeast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E349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«___» __________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E349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E34991" w:rsidRPr="00E34991" w:rsidRDefault="00E34991" w:rsidP="00E34991">
      <w:pPr>
        <w:jc w:val="both"/>
        <w:rPr>
          <w:b/>
          <w:color w:val="000000"/>
          <w:sz w:val="26"/>
          <w:szCs w:val="26"/>
        </w:rPr>
      </w:pPr>
    </w:p>
    <w:p w:rsidR="00E34991" w:rsidRPr="00E34991" w:rsidRDefault="00E34991" w:rsidP="00E34991">
      <w:pPr>
        <w:ind w:firstLine="708"/>
        <w:jc w:val="both"/>
        <w:rPr>
          <w:color w:val="000000"/>
          <w:sz w:val="26"/>
          <w:szCs w:val="26"/>
        </w:rPr>
      </w:pPr>
      <w:r w:rsidRPr="00E34991">
        <w:rPr>
          <w:b/>
          <w:color w:val="000000"/>
          <w:sz w:val="26"/>
          <w:szCs w:val="26"/>
        </w:rPr>
        <w:t>Общество с ограниченной ответственностью «Гарантийный фонд Забайкальского края», в</w:t>
      </w:r>
      <w:r w:rsidRPr="00E34991">
        <w:rPr>
          <w:color w:val="000000"/>
          <w:sz w:val="26"/>
          <w:szCs w:val="26"/>
        </w:rPr>
        <w:t xml:space="preserve"> дальнейшем именуемое «Гарантийный фонд/РГО», в лице директора </w:t>
      </w:r>
      <w:r w:rsidR="00B0244D">
        <w:rPr>
          <w:color w:val="000000"/>
          <w:sz w:val="26"/>
          <w:szCs w:val="26"/>
        </w:rPr>
        <w:t>________________</w:t>
      </w:r>
      <w:bookmarkStart w:id="0" w:name="_GoBack"/>
      <w:bookmarkEnd w:id="0"/>
      <w:r w:rsidRPr="00E34991">
        <w:rPr>
          <w:color w:val="000000"/>
          <w:sz w:val="26"/>
          <w:szCs w:val="26"/>
        </w:rPr>
        <w:t xml:space="preserve">, действующего на основании Устава, с одной стороны, и </w:t>
      </w:r>
    </w:p>
    <w:p w:rsidR="00E34991" w:rsidRPr="00E34991" w:rsidRDefault="00E34991" w:rsidP="00E34991">
      <w:pPr>
        <w:ind w:firstLine="708"/>
        <w:jc w:val="both"/>
        <w:rPr>
          <w:color w:val="000000"/>
          <w:sz w:val="26"/>
          <w:szCs w:val="26"/>
        </w:rPr>
      </w:pPr>
      <w:r w:rsidRPr="00E34991">
        <w:rPr>
          <w:bCs/>
          <w:color w:val="000000"/>
          <w:sz w:val="26"/>
          <w:szCs w:val="26"/>
        </w:rPr>
        <w:t xml:space="preserve"> </w:t>
      </w:r>
      <w:r w:rsidRPr="00E34991">
        <w:rPr>
          <w:b/>
          <w:bCs/>
          <w:color w:val="000000"/>
          <w:sz w:val="26"/>
          <w:szCs w:val="26"/>
        </w:rPr>
        <w:t>«_______________________»</w:t>
      </w:r>
      <w:r w:rsidRPr="00E34991">
        <w:rPr>
          <w:bCs/>
          <w:color w:val="000000"/>
          <w:sz w:val="26"/>
          <w:szCs w:val="26"/>
        </w:rPr>
        <w:t xml:space="preserve">, именуемое в дальнейшем Финансовая организация/Банк </w:t>
      </w:r>
      <w:proofErr w:type="gramStart"/>
      <w:r w:rsidRPr="00E34991">
        <w:rPr>
          <w:bCs/>
          <w:color w:val="000000"/>
          <w:sz w:val="26"/>
          <w:szCs w:val="26"/>
        </w:rPr>
        <w:t>-П</w:t>
      </w:r>
      <w:proofErr w:type="gramEnd"/>
      <w:r w:rsidRPr="00E34991">
        <w:rPr>
          <w:bCs/>
          <w:color w:val="000000"/>
          <w:sz w:val="26"/>
          <w:szCs w:val="26"/>
        </w:rPr>
        <w:t xml:space="preserve">артнер Гарантийного фонда в лице _____________________, действующего на основании __________, с другой стороны, вместе именуемые «Стороны», заключили </w:t>
      </w:r>
      <w:r w:rsidRPr="00E34991">
        <w:rPr>
          <w:color w:val="000000"/>
          <w:sz w:val="26"/>
          <w:szCs w:val="26"/>
        </w:rPr>
        <w:t>настоящее Соглашение о порядке сотрудничества по программе предоставления поручительств по договорам о предоставлении банковской гарантии (далее – Соглашение) о нижеследующем.</w:t>
      </w:r>
    </w:p>
    <w:p w:rsidR="00E34991" w:rsidRDefault="00E34991" w:rsidP="00936AA6">
      <w:pPr>
        <w:keepNext/>
        <w:keepLines/>
        <w:jc w:val="center"/>
        <w:outlineLvl w:val="0"/>
        <w:rPr>
          <w:bCs/>
          <w:color w:val="000000"/>
        </w:rPr>
      </w:pPr>
    </w:p>
    <w:p w:rsidR="00C9323C" w:rsidRPr="00E34991" w:rsidRDefault="00C9323C" w:rsidP="00E34991">
      <w:pPr>
        <w:keepNext/>
        <w:keepLines/>
        <w:ind w:firstLine="708"/>
        <w:outlineLvl w:val="0"/>
        <w:rPr>
          <w:bCs/>
          <w:color w:val="000000"/>
        </w:rPr>
      </w:pPr>
      <w:r w:rsidRPr="00E34991">
        <w:rPr>
          <w:bCs/>
          <w:color w:val="000000"/>
        </w:rPr>
        <w:t>1. Цели Соглашения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1.1. Целью настоящего Соглашения является расширение системы гарантий по обязательствам </w:t>
      </w:r>
      <w:r w:rsidRPr="00E34991">
        <w:t>субъектов малого и среднего предпринимательства на территории Забайкальского края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</w:t>
      </w:r>
      <w:r w:rsidRPr="00E34991">
        <w:rPr>
          <w:color w:val="000000"/>
        </w:rPr>
        <w:t xml:space="preserve"> для обеспечения им равного доступа к финансовым ресурсам.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1.2. Для реализации цели, предусмотренной подпунктом 1.1 настоящего Соглашения,  РГО разработана программа содействия развитию системы гарантий для субъектов МСП</w:t>
      </w:r>
      <w:r w:rsidRPr="00E34991">
        <w:t xml:space="preserve"> и организаций инфраструктуры поддержки субъектов МСП</w:t>
      </w:r>
      <w:r w:rsidRPr="00E34991">
        <w:rPr>
          <w:color w:val="000000"/>
        </w:rPr>
        <w:t xml:space="preserve">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 w:rsidRPr="00E34991">
        <w:t>и организаций инфраструктуры поддержки субъектов МСП</w:t>
      </w:r>
      <w:r w:rsidRPr="00E34991">
        <w:rPr>
          <w:color w:val="000000"/>
        </w:rPr>
        <w:t xml:space="preserve"> по договорам о предоставлении банковской гарантии.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1.3. Настоящее Соглашение регламентирует участие Банка в программе РГО в качестве партнёра.</w:t>
      </w:r>
    </w:p>
    <w:p w:rsidR="00E34991" w:rsidRDefault="00E34991" w:rsidP="00E34991">
      <w:pPr>
        <w:ind w:firstLine="708"/>
        <w:rPr>
          <w:color w:val="000000"/>
        </w:rPr>
      </w:pPr>
    </w:p>
    <w:p w:rsidR="00C9323C" w:rsidRPr="00E34991" w:rsidRDefault="00C9323C" w:rsidP="00E34991">
      <w:pPr>
        <w:ind w:firstLine="708"/>
        <w:rPr>
          <w:color w:val="000000"/>
        </w:rPr>
      </w:pPr>
      <w:r w:rsidRPr="00E34991">
        <w:rPr>
          <w:color w:val="000000"/>
        </w:rPr>
        <w:t>2. Программа РГО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E34991">
        <w:t xml:space="preserve"> и организаций инфраструктуры поддержки субъектов МСП по договорам о предоставлении</w:t>
      </w:r>
      <w:r w:rsidRPr="00E34991">
        <w:rPr>
          <w:color w:val="000000"/>
        </w:rPr>
        <w:t xml:space="preserve"> банковской гарантии. В этих целях уполномоченными органами РГО утверждаются:</w:t>
      </w:r>
    </w:p>
    <w:p w:rsidR="00936AA6" w:rsidRPr="00E34991" w:rsidRDefault="00936AA6" w:rsidP="00936AA6">
      <w:pPr>
        <w:tabs>
          <w:tab w:val="left" w:pos="993"/>
        </w:tabs>
        <w:ind w:right="144" w:firstLine="567"/>
        <w:jc w:val="both"/>
        <w:rPr>
          <w:szCs w:val="26"/>
        </w:rPr>
      </w:pPr>
      <w:r w:rsidRPr="00E34991">
        <w:rPr>
          <w:szCs w:val="26"/>
        </w:rPr>
        <w:t>– Положение о порядке предоставления поручительств и исполнения обязательств по договорам поручительства;</w:t>
      </w:r>
    </w:p>
    <w:p w:rsidR="00936AA6" w:rsidRPr="00E34991" w:rsidRDefault="00936AA6" w:rsidP="00936AA6">
      <w:pPr>
        <w:tabs>
          <w:tab w:val="left" w:pos="851"/>
          <w:tab w:val="left" w:pos="993"/>
        </w:tabs>
        <w:ind w:right="144" w:firstLine="567"/>
        <w:jc w:val="both"/>
        <w:rPr>
          <w:szCs w:val="26"/>
        </w:rPr>
      </w:pPr>
      <w:r w:rsidRPr="00E34991">
        <w:rPr>
          <w:szCs w:val="26"/>
        </w:rPr>
        <w:t>– Требования к Заемщикам, которым Гарантийный фонд предоставляет поручительства;</w:t>
      </w:r>
    </w:p>
    <w:p w:rsidR="00936AA6" w:rsidRPr="00E34991" w:rsidRDefault="00936AA6" w:rsidP="00936AA6">
      <w:pPr>
        <w:tabs>
          <w:tab w:val="left" w:pos="993"/>
        </w:tabs>
        <w:ind w:right="144" w:firstLine="567"/>
        <w:jc w:val="both"/>
        <w:rPr>
          <w:szCs w:val="26"/>
        </w:rPr>
      </w:pPr>
      <w:r w:rsidRPr="00E34991">
        <w:rPr>
          <w:szCs w:val="26"/>
        </w:rPr>
        <w:t>–  Гарантийные продукты;</w:t>
      </w:r>
    </w:p>
    <w:p w:rsidR="00936AA6" w:rsidRPr="00E34991" w:rsidRDefault="00936AA6" w:rsidP="00936AA6">
      <w:pPr>
        <w:tabs>
          <w:tab w:val="left" w:pos="993"/>
        </w:tabs>
        <w:ind w:right="144" w:firstLine="567"/>
        <w:jc w:val="both"/>
        <w:rPr>
          <w:szCs w:val="26"/>
        </w:rPr>
      </w:pPr>
      <w:r w:rsidRPr="00E34991">
        <w:rPr>
          <w:szCs w:val="26"/>
        </w:rPr>
        <w:t xml:space="preserve">– Положение о порядке расчёта общего операционного лимита условных обязательств, </w:t>
      </w:r>
      <w:r w:rsidRPr="00E34991">
        <w:rPr>
          <w:bCs/>
          <w:szCs w:val="26"/>
        </w:rPr>
        <w:t xml:space="preserve"> операционного лимита на вновь принятые обязательства</w:t>
      </w:r>
      <w:r w:rsidRPr="00E34991">
        <w:rPr>
          <w:szCs w:val="26"/>
        </w:rPr>
        <w:t xml:space="preserve"> и лимита условных обязательств на финансовые организации;</w:t>
      </w:r>
    </w:p>
    <w:p w:rsidR="00936AA6" w:rsidRPr="00E34991" w:rsidRDefault="00936AA6" w:rsidP="00936AA6">
      <w:pPr>
        <w:tabs>
          <w:tab w:val="left" w:pos="993"/>
        </w:tabs>
        <w:ind w:right="144" w:firstLine="567"/>
        <w:jc w:val="both"/>
        <w:rPr>
          <w:szCs w:val="26"/>
        </w:rPr>
      </w:pPr>
      <w:r w:rsidRPr="00E34991">
        <w:rPr>
          <w:szCs w:val="26"/>
        </w:rPr>
        <w:t>– Положение об условиях и порядке отбора финансовых организаций на право заключения Соглашения о сотрудничестве по предоставлению поручительств;</w:t>
      </w:r>
    </w:p>
    <w:p w:rsidR="00C9323C" w:rsidRPr="00E34991" w:rsidRDefault="00936AA6" w:rsidP="00936AA6">
      <w:pPr>
        <w:ind w:firstLine="567"/>
        <w:jc w:val="both"/>
        <w:rPr>
          <w:color w:val="000000"/>
        </w:rPr>
      </w:pPr>
      <w:r w:rsidRPr="00E34991">
        <w:rPr>
          <w:color w:val="000000"/>
        </w:rPr>
        <w:t>– Т</w:t>
      </w:r>
      <w:r w:rsidR="00C9323C" w:rsidRPr="00E34991">
        <w:rPr>
          <w:color w:val="000000"/>
        </w:rPr>
        <w:t>иповая форма договора поручительства (и (или) типовая форма независимой гарантии) по договору о предоставлении банковской гарантии.</w:t>
      </w:r>
    </w:p>
    <w:p w:rsidR="00DD3F8E" w:rsidRPr="00E34991" w:rsidRDefault="00DD3F8E" w:rsidP="00936AA6">
      <w:pPr>
        <w:ind w:firstLine="567"/>
        <w:jc w:val="both"/>
        <w:rPr>
          <w:color w:val="000000"/>
        </w:rPr>
      </w:pPr>
    </w:p>
    <w:p w:rsidR="00C9323C" w:rsidRPr="00E34991" w:rsidRDefault="00C9323C" w:rsidP="00E34991">
      <w:pPr>
        <w:ind w:firstLine="567"/>
        <w:rPr>
          <w:color w:val="000000"/>
        </w:rPr>
      </w:pPr>
      <w:r w:rsidRPr="00E34991">
        <w:rPr>
          <w:color w:val="000000"/>
        </w:rPr>
        <w:t>3. Принципы взаимодействия Сторон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lastRenderedPageBreak/>
        <w:tab/>
        <w:t>3.3. РГО ежеквартально предоставляет по запросу Банка информацию: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- об общем объёме действующих обязательств перед всеми партнёрами Фонда по состоянию на последний отчётный период (квартал);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- о текущих (оставшихся) объёмах лимита</w:t>
      </w:r>
      <w:r w:rsidRPr="00E34991">
        <w:t xml:space="preserve"> поручительств на</w:t>
      </w:r>
      <w:r w:rsidRPr="00E34991">
        <w:rPr>
          <w:color w:val="000000"/>
        </w:rPr>
        <w:t xml:space="preserve"> партнёра РГО.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3.4. Банк ежеквартально предоставляет по запросу РГО информацию: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 - об объёме банковских гарантий, выданных под поручительство РГО за прошедший период (квартал);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- об общем объёме банковских гарантий, выданных Банком субъектам МСП </w:t>
      </w:r>
      <w:r w:rsidRPr="00E34991">
        <w:t>и организациям инфраструктуры поддержки субъектов МСП</w:t>
      </w:r>
      <w:r w:rsidRPr="00E34991">
        <w:rPr>
          <w:color w:val="000000"/>
        </w:rPr>
        <w:t xml:space="preserve"> за прошедший период (квартал) без поручительства РГО;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- об общем количестве субъектов МСП </w:t>
      </w:r>
      <w:r w:rsidRPr="00E34991">
        <w:t>и организаций инфраструктуры поддержки субъектов МСП</w:t>
      </w:r>
      <w:r w:rsidRPr="00E34991">
        <w:rPr>
          <w:color w:val="000000"/>
        </w:rPr>
        <w:t>, заключивших договоры о предоставлении банковской гарантии по программе РГО за прошедший период (квартал);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- о причинах отказов в предоставлении банковских гарантий субъектам МСП </w:t>
      </w:r>
      <w:r w:rsidRPr="00E34991">
        <w:t>и организациям инфраструктуры поддержки субъектов МСП</w:t>
      </w:r>
      <w:r w:rsidRPr="00E34991">
        <w:rPr>
          <w:color w:val="000000"/>
        </w:rPr>
        <w:t xml:space="preserve"> (обобщенная информация) за прошедший период (квартал);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- об общем объёме просроченных и неисполненных субъектами МСП </w:t>
      </w:r>
      <w:r w:rsidRPr="00E34991">
        <w:t>и организациями инфраструктуры поддержки субъектов МСП</w:t>
      </w:r>
      <w:r w:rsidRPr="00E34991">
        <w:rPr>
          <w:color w:val="000000"/>
        </w:rPr>
        <w:t xml:space="preserve"> обязательств по договорам о предоставлении банковской гарантии, выданным под поручительство РГО;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- об общем объёме требований, предъявленных Банком к РГО по выданным поручительствам за прошедший период (квартал).</w:t>
      </w:r>
    </w:p>
    <w:p w:rsidR="00C9323C" w:rsidRPr="00E34991" w:rsidRDefault="00C9323C" w:rsidP="00936AA6">
      <w:pPr>
        <w:jc w:val="both"/>
        <w:rPr>
          <w:color w:val="000000"/>
        </w:rPr>
      </w:pPr>
    </w:p>
    <w:p w:rsidR="00C9323C" w:rsidRPr="00E34991" w:rsidRDefault="00C9323C" w:rsidP="00E34991">
      <w:pPr>
        <w:ind w:firstLine="708"/>
        <w:rPr>
          <w:color w:val="000000"/>
        </w:rPr>
      </w:pPr>
      <w:r w:rsidRPr="00E34991">
        <w:rPr>
          <w:color w:val="000000"/>
        </w:rPr>
        <w:t>4. Обязанности Сторон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4.1. РГО обязуется: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4.1.1. Обеспечить единые принципы участия банков-партнёров в программе РГО.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4.1.2. Проводить активную политику по информированию субъектов МСП </w:t>
      </w:r>
      <w:r w:rsidRPr="00E34991">
        <w:t>и организаций инфраструктуры поддержки субъектов МСП</w:t>
      </w:r>
      <w:r w:rsidRPr="00E34991">
        <w:rPr>
          <w:color w:val="000000"/>
        </w:rPr>
        <w:t xml:space="preserve"> о программе РГО;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4.1.4. Использовать ссылки на Банк при реализации политики по информированию субъектов МСП </w:t>
      </w:r>
      <w:r w:rsidRPr="00E34991">
        <w:t xml:space="preserve">и организаций инфраструктуры поддержки субъектов МСП </w:t>
      </w:r>
      <w:r w:rsidRPr="00E34991">
        <w:rPr>
          <w:color w:val="000000"/>
        </w:rPr>
        <w:t>о программе РГО, в том числе обеспечить доступ к ссылке на сайт Банка на сайте РГО.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C9323C" w:rsidRPr="00E34991" w:rsidRDefault="00C9323C" w:rsidP="00936AA6">
      <w:pPr>
        <w:ind w:firstLine="720"/>
        <w:jc w:val="both"/>
        <w:rPr>
          <w:color w:val="000000"/>
        </w:rPr>
      </w:pPr>
      <w:r w:rsidRPr="00E34991"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E34991">
        <w:rPr>
          <w:color w:val="000000"/>
        </w:rPr>
        <w:t>предоставлению поручительств по обязательствам субъектов МСП</w:t>
      </w:r>
      <w:r w:rsidRPr="00E34991">
        <w:t xml:space="preserve"> и организаций инфраструктуры поддержки субъектов МСП по договорам о предоставлении</w:t>
      </w:r>
      <w:r w:rsidRPr="00E34991">
        <w:rPr>
          <w:color w:val="000000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 w:rsidRPr="00E34991">
        <w:t>.</w:t>
      </w:r>
    </w:p>
    <w:p w:rsid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</w:r>
    </w:p>
    <w:p w:rsidR="00E34991" w:rsidRDefault="00E34991" w:rsidP="00936AA6">
      <w:pPr>
        <w:jc w:val="both"/>
        <w:rPr>
          <w:color w:val="000000"/>
        </w:rPr>
      </w:pPr>
    </w:p>
    <w:p w:rsidR="00C9323C" w:rsidRPr="00E34991" w:rsidRDefault="00C9323C" w:rsidP="00E34991">
      <w:pPr>
        <w:ind w:firstLine="708"/>
        <w:jc w:val="both"/>
        <w:rPr>
          <w:color w:val="000000"/>
        </w:rPr>
      </w:pPr>
      <w:r w:rsidRPr="00E34991">
        <w:rPr>
          <w:color w:val="000000"/>
        </w:rPr>
        <w:t>4.2. Банк обязуется:</w:t>
      </w:r>
    </w:p>
    <w:p w:rsidR="00C9323C" w:rsidRPr="00E34991" w:rsidRDefault="00C9323C" w:rsidP="00936AA6">
      <w:pPr>
        <w:jc w:val="both"/>
        <w:rPr>
          <w:b/>
          <w:color w:val="000000"/>
        </w:rPr>
      </w:pPr>
      <w:r w:rsidRPr="00E34991">
        <w:rPr>
          <w:color w:val="000000"/>
        </w:rPr>
        <w:lastRenderedPageBreak/>
        <w:tab/>
        <w:t xml:space="preserve">4.2.1. Обеспечивать выдачу банковских гарантий субъектам МСП </w:t>
      </w:r>
      <w:r w:rsidRPr="00E34991">
        <w:t>и организациям инфраструктуры поддержки субъектов МСП</w:t>
      </w:r>
      <w:r w:rsidRPr="00E34991">
        <w:rPr>
          <w:color w:val="000000"/>
        </w:rPr>
        <w:t xml:space="preserve"> с привлечением в качестве обеспечения таких гарантий поручительств РГО путём заключения договоров поручительства (использования независимых гарантий) по типовой форме, утвержденной уполномоченным органом РГО.</w:t>
      </w:r>
      <w:r w:rsidRPr="00E34991">
        <w:rPr>
          <w:b/>
          <w:color w:val="000000"/>
        </w:rPr>
        <w:t xml:space="preserve"> 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4.2.2. Оказывать информационную и консультационную поддержку субъектам МСП </w:t>
      </w:r>
      <w:r w:rsidRPr="00E34991">
        <w:t>и организациям инфраструктуры поддержки субъектов МСП</w:t>
      </w:r>
      <w:r w:rsidRPr="00E34991">
        <w:rPr>
          <w:color w:val="000000"/>
        </w:rPr>
        <w:t>, в определении предпочтительных форм финансирования проектов и текущей деятельности.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4.2.3. Информировать субъектов МСП </w:t>
      </w:r>
      <w:r w:rsidRPr="00E34991">
        <w:t>и организации инфраструктуры поддержки субъектов МСП</w:t>
      </w:r>
      <w:r w:rsidRPr="00E34991">
        <w:rPr>
          <w:color w:val="000000"/>
        </w:rPr>
        <w:t xml:space="preserve"> о программе РГО, а также оказывать им консультационную поддержку по программе РГО;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4.2.4. Проводить взвешенную и осмотрительную политику предоставления банковских гарантий субъектам МСП и</w:t>
      </w:r>
      <w:r w:rsidRPr="00E34991">
        <w:t xml:space="preserve"> организациям инфраструктуры поддержки субъектов МСП</w:t>
      </w:r>
      <w:r w:rsidRPr="00E34991">
        <w:rPr>
          <w:color w:val="000000"/>
        </w:rPr>
        <w:t xml:space="preserve"> по программе РГО.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 xml:space="preserve">4.2.5. Обеспечить создание условий для внедрения перспективных банковских продуктов и технологий обслуживания субъектов МСП </w:t>
      </w:r>
      <w:r w:rsidRPr="00E34991">
        <w:t>и организаций инфраструктуры поддержки субъектов МСП</w:t>
      </w:r>
      <w:r w:rsidRPr="00E34991">
        <w:rPr>
          <w:color w:val="000000"/>
        </w:rPr>
        <w:t>.</w:t>
      </w:r>
    </w:p>
    <w:p w:rsidR="00C9323C" w:rsidRPr="00E34991" w:rsidRDefault="00C9323C" w:rsidP="00936AA6">
      <w:pPr>
        <w:jc w:val="both"/>
        <w:rPr>
          <w:color w:val="000000"/>
        </w:rPr>
      </w:pPr>
      <w:r w:rsidRPr="00E34991">
        <w:rPr>
          <w:color w:val="000000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C9323C" w:rsidRPr="00E34991" w:rsidRDefault="00C9323C" w:rsidP="00936AA6">
      <w:pPr>
        <w:ind w:firstLine="720"/>
        <w:jc w:val="both"/>
        <w:rPr>
          <w:color w:val="000000"/>
        </w:rPr>
      </w:pPr>
      <w:r w:rsidRPr="00E34991">
        <w:rPr>
          <w:color w:val="000000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C9323C" w:rsidRPr="00E34991" w:rsidRDefault="00C9323C" w:rsidP="00936AA6">
      <w:pPr>
        <w:ind w:firstLine="720"/>
        <w:jc w:val="both"/>
      </w:pPr>
      <w:r w:rsidRPr="00E34991">
        <w:rPr>
          <w:color w:val="000000"/>
        </w:rPr>
        <w:t xml:space="preserve">4.2.8. В процессе предоставления банковских гарантий субъектам МСП </w:t>
      </w:r>
      <w:r w:rsidRPr="00E34991">
        <w:t>и организациям инфраструктуры поддержки субъектов МСП</w:t>
      </w:r>
      <w:r w:rsidRPr="00E34991">
        <w:rPr>
          <w:color w:val="000000"/>
        </w:rPr>
        <w:t xml:space="preserve"> по программе РГО </w:t>
      </w:r>
      <w:r w:rsidRPr="00E34991">
        <w:t>соблюдать касающиеся Банка положения действующих на момент выдачи банковской гарантии внутренних нормативных документов РГО, регламентирующих порядок и условия предоставления поручительств</w:t>
      </w:r>
      <w:r w:rsidR="00DD3F8E" w:rsidRPr="00E34991">
        <w:t>.</w:t>
      </w:r>
    </w:p>
    <w:p w:rsidR="00C9323C" w:rsidRPr="00E34991" w:rsidRDefault="00C9323C" w:rsidP="00936AA6">
      <w:pPr>
        <w:ind w:firstLine="709"/>
        <w:jc w:val="both"/>
        <w:rPr>
          <w:rFonts w:eastAsiaTheme="minorHAnsi"/>
        </w:rPr>
      </w:pPr>
      <w:r w:rsidRPr="00E34991">
        <w:t xml:space="preserve">4.2.9. </w:t>
      </w:r>
      <w:proofErr w:type="gramStart"/>
      <w:r w:rsidRPr="00E34991">
        <w:t>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</w:t>
      </w:r>
      <w:proofErr w:type="gramEnd"/>
      <w:r w:rsidRPr="00E34991">
        <w:t xml:space="preserve"> дня проведения соответствующей проверки.</w:t>
      </w:r>
    </w:p>
    <w:p w:rsidR="00C9323C" w:rsidRPr="00E34991" w:rsidRDefault="00C9323C" w:rsidP="00936AA6">
      <w:pPr>
        <w:ind w:firstLine="709"/>
        <w:jc w:val="both"/>
      </w:pPr>
      <w:r w:rsidRPr="00E34991">
        <w:t xml:space="preserve">4.2.10. По запросу РГО предоставлять иные сведения и (или) документы, касающиеся деятельности </w:t>
      </w:r>
      <w:proofErr w:type="gramStart"/>
      <w:r w:rsidRPr="00E34991">
        <w:t>Банка</w:t>
      </w:r>
      <w:proofErr w:type="gramEnd"/>
      <w:r w:rsidRPr="00E34991">
        <w:t xml:space="preserve"> в том числе по договорам о предоставлении банковской гарантии, обеспеченным поручительством и (или) независимой гарантией,</w:t>
      </w:r>
      <w:r w:rsidRPr="00E34991">
        <w:rPr>
          <w:color w:val="000000"/>
        </w:rPr>
        <w:t xml:space="preserve"> если это не противоречит требованиям действующего законодательства Российской Федерации</w:t>
      </w:r>
      <w:r w:rsidRPr="00E34991">
        <w:t>.</w:t>
      </w:r>
    </w:p>
    <w:p w:rsidR="00C9323C" w:rsidRPr="00E34991" w:rsidRDefault="00C9323C" w:rsidP="00936AA6">
      <w:pPr>
        <w:jc w:val="center"/>
        <w:rPr>
          <w:rFonts w:eastAsia="Calibri"/>
        </w:rPr>
      </w:pPr>
    </w:p>
    <w:p w:rsidR="00C9323C" w:rsidRPr="00E34991" w:rsidRDefault="00C9323C" w:rsidP="00E34991">
      <w:pPr>
        <w:ind w:firstLine="708"/>
        <w:rPr>
          <w:rFonts w:eastAsia="Calibri"/>
        </w:rPr>
      </w:pPr>
      <w:r w:rsidRPr="00E34991">
        <w:rPr>
          <w:rFonts w:eastAsia="Calibri"/>
        </w:rPr>
        <w:t>5. Другие договорённости</w:t>
      </w:r>
    </w:p>
    <w:p w:rsidR="00C9323C" w:rsidRPr="00E34991" w:rsidRDefault="00C9323C" w:rsidP="00936AA6">
      <w:pPr>
        <w:jc w:val="both"/>
        <w:rPr>
          <w:rFonts w:eastAsia="Calibri"/>
        </w:rPr>
      </w:pPr>
      <w:r w:rsidRPr="00E34991">
        <w:rPr>
          <w:rFonts w:eastAsia="Calibri"/>
        </w:rPr>
        <w:tab/>
        <w:t>5.1. Стороны также договорились:</w:t>
      </w:r>
    </w:p>
    <w:p w:rsidR="00C9323C" w:rsidRPr="00E34991" w:rsidRDefault="00C9323C" w:rsidP="00936AA6">
      <w:pPr>
        <w:ind w:firstLine="708"/>
        <w:jc w:val="both"/>
        <w:rPr>
          <w:rFonts w:eastAsia="Calibri"/>
        </w:rPr>
      </w:pPr>
      <w:r w:rsidRPr="00E34991">
        <w:rPr>
          <w:rFonts w:eastAsia="Calibri"/>
        </w:rPr>
        <w:t xml:space="preserve">5.1.1. О сотрудничестве в сфере проведения семинаров и презентаций для субъектов МСП </w:t>
      </w:r>
      <w:r w:rsidRPr="00E34991">
        <w:t>и организаций инфраструктуры поддержки субъектов МСП</w:t>
      </w:r>
      <w:r w:rsidRPr="00E34991">
        <w:rPr>
          <w:rFonts w:eastAsia="Calibri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C9323C" w:rsidRPr="00E34991" w:rsidRDefault="00C9323C" w:rsidP="00936AA6">
      <w:pPr>
        <w:ind w:firstLine="708"/>
        <w:jc w:val="both"/>
        <w:rPr>
          <w:rFonts w:eastAsia="Calibri"/>
          <w:color w:val="000000"/>
        </w:rPr>
      </w:pPr>
      <w:r w:rsidRPr="00E34991">
        <w:rPr>
          <w:rFonts w:eastAsia="Calibri"/>
        </w:rPr>
        <w:t>5.1.2. О</w:t>
      </w:r>
      <w:r w:rsidRPr="00E34991">
        <w:rPr>
          <w:rFonts w:eastAsia="Calibri"/>
          <w:color w:val="000000"/>
        </w:rPr>
        <w:t xml:space="preserve"> проведении совместных информационных компаний, направленных на информирование субъектов МСП </w:t>
      </w:r>
      <w:r w:rsidRPr="00E34991">
        <w:t>и организаций инфраструктуры поддержки субъектов МСП</w:t>
      </w:r>
      <w:r w:rsidRPr="00E34991">
        <w:rPr>
          <w:rFonts w:eastAsia="Calibri"/>
          <w:color w:val="000000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</w:p>
    <w:p w:rsidR="00C9323C" w:rsidRPr="00E34991" w:rsidRDefault="00C9323C" w:rsidP="00936AA6">
      <w:pPr>
        <w:ind w:firstLine="708"/>
        <w:jc w:val="both"/>
        <w:rPr>
          <w:rFonts w:eastAsia="Calibri"/>
          <w:color w:val="000000"/>
        </w:rPr>
      </w:pPr>
      <w:r w:rsidRPr="00E34991">
        <w:rPr>
          <w:rFonts w:eastAsia="Calibri"/>
          <w:color w:val="000000"/>
        </w:rPr>
        <w:t xml:space="preserve">5.1.3. О взаимном консультировании по вопросам развития субъектов МСП </w:t>
      </w:r>
      <w:r w:rsidRPr="00E34991">
        <w:t>и организаций инфраструктуры поддержки субъектов МСП</w:t>
      </w:r>
      <w:r w:rsidRPr="00E34991">
        <w:rPr>
          <w:rFonts w:eastAsia="Calibri"/>
          <w:color w:val="000000"/>
        </w:rPr>
        <w:t>.</w:t>
      </w:r>
    </w:p>
    <w:p w:rsidR="00C9323C" w:rsidRPr="00E34991" w:rsidRDefault="00C9323C" w:rsidP="00936AA6">
      <w:pPr>
        <w:keepNext/>
        <w:keepLines/>
        <w:jc w:val="both"/>
        <w:outlineLvl w:val="0"/>
        <w:rPr>
          <w:bCs/>
          <w:color w:val="000000"/>
        </w:rPr>
      </w:pPr>
    </w:p>
    <w:p w:rsidR="00C9323C" w:rsidRPr="00E34991" w:rsidRDefault="00C9323C" w:rsidP="00E34991">
      <w:pPr>
        <w:ind w:firstLine="540"/>
      </w:pPr>
      <w:r w:rsidRPr="00E34991">
        <w:t>6. Условия конфиденциальности</w:t>
      </w:r>
    </w:p>
    <w:p w:rsidR="00C9323C" w:rsidRPr="00E34991" w:rsidRDefault="00C9323C" w:rsidP="00936AA6">
      <w:pPr>
        <w:ind w:firstLine="540"/>
        <w:jc w:val="both"/>
      </w:pPr>
      <w:r w:rsidRPr="00E34991"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</w:t>
      </w:r>
      <w:r w:rsidR="00936AA6" w:rsidRPr="00E34991">
        <w:t>Ф.</w:t>
      </w:r>
    </w:p>
    <w:p w:rsidR="00936AA6" w:rsidRPr="00E34991" w:rsidRDefault="00936AA6" w:rsidP="00936AA6">
      <w:pPr>
        <w:keepNext/>
        <w:keepLines/>
        <w:jc w:val="center"/>
        <w:outlineLvl w:val="0"/>
        <w:rPr>
          <w:bCs/>
          <w:color w:val="000000"/>
        </w:rPr>
      </w:pPr>
    </w:p>
    <w:p w:rsidR="00C9323C" w:rsidRPr="00E34991" w:rsidRDefault="00C9323C" w:rsidP="00E34991">
      <w:pPr>
        <w:keepNext/>
        <w:keepLines/>
        <w:ind w:firstLine="540"/>
        <w:outlineLvl w:val="0"/>
        <w:rPr>
          <w:bCs/>
          <w:color w:val="000000"/>
        </w:rPr>
      </w:pPr>
      <w:r w:rsidRPr="00E34991">
        <w:rPr>
          <w:bCs/>
          <w:color w:val="000000"/>
        </w:rPr>
        <w:t>7. Заключительные положения</w:t>
      </w:r>
    </w:p>
    <w:p w:rsidR="00C9323C" w:rsidRPr="00E34991" w:rsidRDefault="00C9323C" w:rsidP="00936AA6">
      <w:pPr>
        <w:ind w:firstLine="720"/>
        <w:jc w:val="both"/>
      </w:pPr>
      <w:r w:rsidRPr="00E34991">
        <w:t xml:space="preserve">7.1. Настоящее Соглашение вступает в силу с момента подписания его Сторонами и действует бессрочно. </w:t>
      </w:r>
    </w:p>
    <w:p w:rsidR="00C9323C" w:rsidRPr="00E34991" w:rsidRDefault="00C9323C" w:rsidP="00936AA6">
      <w:pPr>
        <w:ind w:firstLine="720"/>
        <w:jc w:val="both"/>
      </w:pPr>
      <w:r w:rsidRPr="00E34991">
        <w:t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C9323C" w:rsidRPr="00E34991" w:rsidRDefault="00C9323C" w:rsidP="00936AA6">
      <w:pPr>
        <w:ind w:firstLine="720"/>
        <w:jc w:val="both"/>
      </w:pPr>
      <w:r w:rsidRPr="00E34991"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C9323C" w:rsidRPr="00E34991" w:rsidRDefault="00C9323C" w:rsidP="00936AA6">
      <w:pPr>
        <w:ind w:firstLine="720"/>
        <w:jc w:val="both"/>
      </w:pPr>
      <w:r w:rsidRPr="00E34991">
        <w:t>7.4. Расторжение настоящего Соглашения не накладывает на Стороны никаких финансовых обязательств.</w:t>
      </w:r>
    </w:p>
    <w:p w:rsidR="00C9323C" w:rsidRPr="00E34991" w:rsidRDefault="00C9323C" w:rsidP="00936AA6">
      <w:pPr>
        <w:ind w:firstLine="720"/>
        <w:jc w:val="both"/>
      </w:pPr>
      <w:r w:rsidRPr="00E34991"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C9323C" w:rsidRPr="00E34991" w:rsidRDefault="00C9323C" w:rsidP="00936AA6">
      <w:pPr>
        <w:ind w:firstLine="720"/>
        <w:jc w:val="both"/>
      </w:pPr>
      <w:r w:rsidRPr="00E34991"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C9323C" w:rsidRDefault="00C9323C" w:rsidP="00936AA6">
      <w:pPr>
        <w:jc w:val="both"/>
      </w:pPr>
    </w:p>
    <w:p w:rsidR="00E34991" w:rsidRDefault="00E34991" w:rsidP="009F3DE4">
      <w:pPr>
        <w:tabs>
          <w:tab w:val="left" w:pos="851"/>
          <w:tab w:val="left" w:pos="1134"/>
        </w:tabs>
        <w:ind w:firstLine="709"/>
        <w:jc w:val="both"/>
      </w:pPr>
    </w:p>
    <w:p w:rsidR="0060634A" w:rsidRPr="00E34991" w:rsidRDefault="0060634A" w:rsidP="009F3DE4">
      <w:pPr>
        <w:tabs>
          <w:tab w:val="left" w:pos="851"/>
          <w:tab w:val="left" w:pos="1134"/>
        </w:tabs>
        <w:ind w:firstLine="709"/>
        <w:jc w:val="both"/>
      </w:pPr>
      <w:r w:rsidRPr="00E34991">
        <w:t>Приложение:</w:t>
      </w:r>
    </w:p>
    <w:p w:rsidR="00FC2EAC" w:rsidRPr="00E34991" w:rsidRDefault="00FC2EAC" w:rsidP="009F3DE4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</w:pPr>
      <w:r w:rsidRPr="00E34991">
        <w:t>Положение о порядке предоставления поручительства и исполнения обязательств по договорам поручительства (приложение №1);</w:t>
      </w:r>
    </w:p>
    <w:p w:rsidR="00FC2EAC" w:rsidRPr="00E34991" w:rsidRDefault="00FC2EAC" w:rsidP="009F3DE4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</w:pPr>
      <w:r w:rsidRPr="00E34991">
        <w:t>Типовая форма заявления Заемщика на получение поручительства (приложение №2);</w:t>
      </w:r>
    </w:p>
    <w:p w:rsidR="00FC2EAC" w:rsidRPr="00E34991" w:rsidRDefault="00FC2EAC" w:rsidP="009F3DE4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</w:pPr>
      <w:r w:rsidRPr="00E34991">
        <w:t>Типовая форма договора поручительства по договорам о предоставлении банковской гарантии (приложение №3)».</w:t>
      </w:r>
    </w:p>
    <w:p w:rsidR="00356D46" w:rsidRDefault="00356D46" w:rsidP="00356D46">
      <w:pPr>
        <w:tabs>
          <w:tab w:val="left" w:pos="851"/>
          <w:tab w:val="left" w:pos="1134"/>
        </w:tabs>
        <w:ind w:left="709"/>
        <w:jc w:val="both"/>
      </w:pPr>
    </w:p>
    <w:p w:rsidR="00E34991" w:rsidRPr="00E34991" w:rsidRDefault="00E34991" w:rsidP="00356D46">
      <w:pPr>
        <w:tabs>
          <w:tab w:val="left" w:pos="851"/>
          <w:tab w:val="left" w:pos="1134"/>
        </w:tabs>
        <w:ind w:left="709"/>
        <w:jc w:val="both"/>
      </w:pPr>
    </w:p>
    <w:p w:rsidR="00E34991" w:rsidRPr="00247B66" w:rsidRDefault="00E34991" w:rsidP="00E34991">
      <w:pPr>
        <w:jc w:val="center"/>
        <w:rPr>
          <w:b/>
          <w:szCs w:val="26"/>
        </w:rPr>
      </w:pPr>
      <w:r w:rsidRPr="00247B66">
        <w:rPr>
          <w:b/>
          <w:szCs w:val="26"/>
        </w:rPr>
        <w:t>Реквизиты и подписи сторон:</w:t>
      </w:r>
    </w:p>
    <w:tbl>
      <w:tblPr>
        <w:tblW w:w="11107" w:type="dxa"/>
        <w:tblLayout w:type="fixed"/>
        <w:tblLook w:val="0000" w:firstRow="0" w:lastRow="0" w:firstColumn="0" w:lastColumn="0" w:noHBand="0" w:noVBand="0"/>
      </w:tblPr>
      <w:tblGrid>
        <w:gridCol w:w="1788"/>
        <w:gridCol w:w="21"/>
        <w:gridCol w:w="2977"/>
        <w:gridCol w:w="4961"/>
        <w:gridCol w:w="21"/>
        <w:gridCol w:w="1339"/>
      </w:tblGrid>
      <w:tr w:rsidR="00E34991" w:rsidRPr="00247B66" w:rsidTr="007B19CA">
        <w:trPr>
          <w:gridAfter w:val="1"/>
          <w:wAfter w:w="1339" w:type="dxa"/>
          <w:trHeight w:val="2660"/>
        </w:trPr>
        <w:tc>
          <w:tcPr>
            <w:tcW w:w="1809" w:type="dxa"/>
            <w:gridSpan w:val="2"/>
          </w:tcPr>
          <w:p w:rsidR="00E34991" w:rsidRPr="00247B66" w:rsidRDefault="00E34991" w:rsidP="007B19C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Финансовая организация/</w:t>
            </w:r>
            <w:r w:rsidRPr="00247B66">
              <w:rPr>
                <w:b/>
                <w:szCs w:val="20"/>
              </w:rPr>
              <w:t>Банк</w:t>
            </w:r>
            <w:r>
              <w:rPr>
                <w:b/>
                <w:szCs w:val="20"/>
              </w:rPr>
              <w:t>-партнер</w:t>
            </w:r>
          </w:p>
        </w:tc>
        <w:tc>
          <w:tcPr>
            <w:tcW w:w="7959" w:type="dxa"/>
            <w:gridSpan w:val="3"/>
          </w:tcPr>
          <w:p w:rsidR="00E34991" w:rsidRPr="00247B66" w:rsidRDefault="00E34991" w:rsidP="007B19CA">
            <w:pPr>
              <w:pStyle w:val="BBSBRFDef"/>
              <w:ind w:firstLine="0"/>
            </w:pPr>
          </w:p>
        </w:tc>
      </w:tr>
      <w:tr w:rsidR="00E34991" w:rsidRPr="00247B66" w:rsidTr="007B19CA">
        <w:trPr>
          <w:gridAfter w:val="2"/>
          <w:wAfter w:w="1360" w:type="dxa"/>
          <w:trHeight w:val="279"/>
        </w:trPr>
        <w:tc>
          <w:tcPr>
            <w:tcW w:w="1788" w:type="dxa"/>
          </w:tcPr>
          <w:p w:rsidR="00E34991" w:rsidRPr="00247B66" w:rsidRDefault="00E34991" w:rsidP="007B19CA">
            <w:pPr>
              <w:jc w:val="both"/>
              <w:rPr>
                <w:b/>
                <w:snapToGrid w:val="0"/>
              </w:rPr>
            </w:pPr>
            <w:r w:rsidRPr="00247B66">
              <w:rPr>
                <w:b/>
                <w:snapToGrid w:val="0"/>
              </w:rPr>
              <w:t>Гарантийный фонд</w:t>
            </w:r>
            <w:r>
              <w:rPr>
                <w:b/>
                <w:snapToGrid w:val="0"/>
              </w:rPr>
              <w:t>/ РГО</w:t>
            </w:r>
          </w:p>
        </w:tc>
        <w:tc>
          <w:tcPr>
            <w:tcW w:w="7959" w:type="dxa"/>
            <w:gridSpan w:val="3"/>
          </w:tcPr>
          <w:p w:rsidR="00E34991" w:rsidRDefault="00E34991" w:rsidP="007B19CA">
            <w:pPr>
              <w:tabs>
                <w:tab w:val="num" w:pos="459"/>
              </w:tabs>
              <w:ind w:right="-108"/>
            </w:pPr>
            <w:r w:rsidRPr="00247B66">
              <w:t xml:space="preserve">Местонахождение: 672000, Забайкальский край, г. Чита, </w:t>
            </w:r>
          </w:p>
          <w:p w:rsidR="00E34991" w:rsidRPr="00247B66" w:rsidRDefault="00E34991" w:rsidP="007B19CA">
            <w:pPr>
              <w:tabs>
                <w:tab w:val="num" w:pos="459"/>
              </w:tabs>
              <w:ind w:right="-108"/>
            </w:pPr>
            <w:r w:rsidRPr="00247B66">
              <w:t>ул. Бабушкина, 52 пом. 4</w:t>
            </w:r>
          </w:p>
          <w:p w:rsidR="00E34991" w:rsidRPr="00247B66" w:rsidRDefault="00E34991" w:rsidP="007B19CA">
            <w:r w:rsidRPr="00247B66">
              <w:t xml:space="preserve">тел: 8 (3022) 35-01-40, 8-800-100-1022 </w:t>
            </w:r>
          </w:p>
          <w:p w:rsidR="00E34991" w:rsidRPr="00247B66" w:rsidRDefault="00E34991" w:rsidP="007B19CA">
            <w:r w:rsidRPr="00247B66">
              <w:rPr>
                <w:lang w:val="en-US"/>
              </w:rPr>
              <w:t>e</w:t>
            </w:r>
            <w:r w:rsidRPr="00247B66">
              <w:t>-</w:t>
            </w:r>
            <w:r w:rsidRPr="00247B66">
              <w:rPr>
                <w:lang w:val="en-US"/>
              </w:rPr>
              <w:t>mail</w:t>
            </w:r>
            <w:r w:rsidRPr="00247B66">
              <w:t xml:space="preserve">: </w:t>
            </w:r>
            <w:r w:rsidRPr="00247B66">
              <w:rPr>
                <w:lang w:val="en-US"/>
              </w:rPr>
              <w:t>mailbox</w:t>
            </w:r>
            <w:r w:rsidRPr="00247B66">
              <w:t>@</w:t>
            </w:r>
            <w:proofErr w:type="spellStart"/>
            <w:r w:rsidRPr="00247B66">
              <w:rPr>
                <w:lang w:val="en-US"/>
              </w:rPr>
              <w:t>zabbusiness</w:t>
            </w:r>
            <w:proofErr w:type="spellEnd"/>
            <w:r w:rsidRPr="00247B66">
              <w:t>.</w:t>
            </w:r>
            <w:proofErr w:type="spellStart"/>
            <w:r w:rsidRPr="00247B66">
              <w:rPr>
                <w:lang w:val="en-US"/>
              </w:rPr>
              <w:t>ru</w:t>
            </w:r>
            <w:proofErr w:type="spellEnd"/>
            <w:r w:rsidRPr="00247B66">
              <w:t xml:space="preserve">, сайт </w:t>
            </w:r>
            <w:r w:rsidRPr="00247B66">
              <w:rPr>
                <w:lang w:val="en-US"/>
              </w:rPr>
              <w:t>www</w:t>
            </w:r>
            <w:r w:rsidRPr="00247B66">
              <w:t>.</w:t>
            </w:r>
            <w:proofErr w:type="spellStart"/>
            <w:r w:rsidRPr="00247B66">
              <w:rPr>
                <w:lang w:val="en-US"/>
              </w:rPr>
              <w:t>zabbusiness</w:t>
            </w:r>
            <w:proofErr w:type="spellEnd"/>
            <w:r w:rsidRPr="00247B66">
              <w:t>.</w:t>
            </w:r>
            <w:proofErr w:type="spellStart"/>
            <w:r w:rsidRPr="00247B66">
              <w:rPr>
                <w:lang w:val="en-US"/>
              </w:rPr>
              <w:t>ru</w:t>
            </w:r>
            <w:proofErr w:type="spellEnd"/>
          </w:p>
          <w:p w:rsidR="00E34991" w:rsidRPr="00247B66" w:rsidRDefault="00E34991" w:rsidP="007B19CA">
            <w:pPr>
              <w:tabs>
                <w:tab w:val="num" w:pos="459"/>
              </w:tabs>
              <w:ind w:right="-108"/>
            </w:pPr>
            <w:r w:rsidRPr="00247B66">
              <w:t>ОГРН 1087536008966, ИНН 7536096145, КПП 753601001</w:t>
            </w:r>
          </w:p>
          <w:p w:rsidR="00E34991" w:rsidRPr="00247B66" w:rsidRDefault="00E34991" w:rsidP="007B19CA">
            <w:pPr>
              <w:jc w:val="both"/>
              <w:rPr>
                <w:szCs w:val="20"/>
              </w:rPr>
            </w:pPr>
            <w:r w:rsidRPr="00247B66">
              <w:rPr>
                <w:szCs w:val="20"/>
              </w:rPr>
              <w:t>Банк: Филиал Банка ВТБ (ПАО) в г. Красноярске г. Красноярск</w:t>
            </w:r>
          </w:p>
          <w:p w:rsidR="00E34991" w:rsidRPr="00247B66" w:rsidRDefault="00E34991" w:rsidP="007B19CA">
            <w:pPr>
              <w:jc w:val="both"/>
              <w:rPr>
                <w:szCs w:val="20"/>
              </w:rPr>
            </w:pPr>
            <w:proofErr w:type="gramStart"/>
            <w:r w:rsidRPr="00247B66">
              <w:rPr>
                <w:szCs w:val="20"/>
              </w:rPr>
              <w:t>р</w:t>
            </w:r>
            <w:proofErr w:type="gramEnd"/>
            <w:r w:rsidRPr="00247B66">
              <w:rPr>
                <w:szCs w:val="20"/>
              </w:rPr>
              <w:t>/счет 40701810609030000033</w:t>
            </w:r>
            <w:r>
              <w:rPr>
                <w:szCs w:val="20"/>
              </w:rPr>
              <w:t xml:space="preserve">   </w:t>
            </w:r>
            <w:r w:rsidRPr="00247B66">
              <w:rPr>
                <w:szCs w:val="20"/>
              </w:rPr>
              <w:t>к/счет 30101810200000000777</w:t>
            </w:r>
          </w:p>
          <w:p w:rsidR="00E34991" w:rsidRPr="00247B66" w:rsidRDefault="00E34991" w:rsidP="007B19CA">
            <w:pPr>
              <w:jc w:val="both"/>
              <w:rPr>
                <w:szCs w:val="20"/>
              </w:rPr>
            </w:pPr>
            <w:r w:rsidRPr="00247B66">
              <w:rPr>
                <w:szCs w:val="20"/>
              </w:rPr>
              <w:t>БИК 040407777</w:t>
            </w:r>
          </w:p>
          <w:p w:rsidR="00E34991" w:rsidRDefault="00E34991" w:rsidP="007B19CA">
            <w:pPr>
              <w:jc w:val="center"/>
              <w:rPr>
                <w:szCs w:val="20"/>
              </w:rPr>
            </w:pPr>
          </w:p>
          <w:p w:rsidR="00E34991" w:rsidRPr="00247B66" w:rsidRDefault="00E34991" w:rsidP="007B19CA">
            <w:pPr>
              <w:jc w:val="center"/>
              <w:rPr>
                <w:szCs w:val="20"/>
              </w:rPr>
            </w:pPr>
          </w:p>
        </w:tc>
      </w:tr>
      <w:tr w:rsidR="00E34991" w:rsidRPr="00247B66" w:rsidTr="007B19CA">
        <w:trPr>
          <w:trHeight w:val="736"/>
        </w:trPr>
        <w:tc>
          <w:tcPr>
            <w:tcW w:w="4786" w:type="dxa"/>
            <w:gridSpan w:val="3"/>
          </w:tcPr>
          <w:p w:rsidR="00E34991" w:rsidRPr="0036577D" w:rsidRDefault="00E34991" w:rsidP="007B19CA">
            <w:pPr>
              <w:jc w:val="both"/>
              <w:rPr>
                <w:szCs w:val="20"/>
              </w:rPr>
            </w:pPr>
            <w:r w:rsidRPr="0036577D">
              <w:rPr>
                <w:szCs w:val="20"/>
              </w:rPr>
              <w:t>От Гарантийного фонда:</w:t>
            </w:r>
          </w:p>
          <w:p w:rsidR="00E34991" w:rsidRPr="0036577D" w:rsidRDefault="00E34991" w:rsidP="007B19CA">
            <w:pPr>
              <w:jc w:val="both"/>
              <w:rPr>
                <w:szCs w:val="20"/>
              </w:rPr>
            </w:pPr>
            <w:r w:rsidRPr="0036577D">
              <w:rPr>
                <w:szCs w:val="20"/>
              </w:rPr>
              <w:t xml:space="preserve">Директор </w:t>
            </w:r>
          </w:p>
          <w:p w:rsidR="00E34991" w:rsidRPr="0036577D" w:rsidRDefault="00E34991" w:rsidP="007B19CA">
            <w:pPr>
              <w:jc w:val="both"/>
              <w:rPr>
                <w:szCs w:val="20"/>
              </w:rPr>
            </w:pPr>
          </w:p>
          <w:p w:rsidR="00E34991" w:rsidRPr="00247B66" w:rsidRDefault="00E34991" w:rsidP="007B19CA">
            <w:pPr>
              <w:jc w:val="both"/>
              <w:rPr>
                <w:szCs w:val="20"/>
              </w:rPr>
            </w:pPr>
          </w:p>
          <w:p w:rsidR="00E34991" w:rsidRPr="00247B66" w:rsidRDefault="00A41891" w:rsidP="00A418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</w:p>
        </w:tc>
        <w:tc>
          <w:tcPr>
            <w:tcW w:w="6321" w:type="dxa"/>
            <w:gridSpan w:val="3"/>
          </w:tcPr>
          <w:p w:rsidR="00E34991" w:rsidRPr="0088149F" w:rsidRDefault="00E34991" w:rsidP="007B19CA">
            <w:pPr>
              <w:ind w:hanging="13"/>
              <w:jc w:val="both"/>
              <w:rPr>
                <w:szCs w:val="20"/>
              </w:rPr>
            </w:pPr>
            <w:r w:rsidRPr="0088149F">
              <w:rPr>
                <w:szCs w:val="20"/>
              </w:rPr>
              <w:t>от Банка:</w:t>
            </w:r>
          </w:p>
          <w:p w:rsidR="00E34991" w:rsidRDefault="00E34991" w:rsidP="007B19CA">
            <w:pPr>
              <w:ind w:hanging="13"/>
              <w:jc w:val="both"/>
              <w:rPr>
                <w:szCs w:val="20"/>
              </w:rPr>
            </w:pPr>
          </w:p>
          <w:p w:rsidR="00E34991" w:rsidRDefault="00E34991" w:rsidP="007B19CA">
            <w:pPr>
              <w:ind w:hanging="13"/>
              <w:jc w:val="both"/>
              <w:rPr>
                <w:szCs w:val="20"/>
              </w:rPr>
            </w:pPr>
          </w:p>
          <w:p w:rsidR="00E34991" w:rsidRPr="00AC6DA8" w:rsidRDefault="00E34991" w:rsidP="007B19CA">
            <w:pPr>
              <w:ind w:hanging="13"/>
              <w:jc w:val="both"/>
              <w:rPr>
                <w:szCs w:val="20"/>
              </w:rPr>
            </w:pPr>
          </w:p>
          <w:p w:rsidR="00E34991" w:rsidRPr="00247B66" w:rsidRDefault="00E34991" w:rsidP="007B19CA">
            <w:pPr>
              <w:ind w:hanging="13"/>
              <w:jc w:val="both"/>
              <w:rPr>
                <w:szCs w:val="20"/>
              </w:rPr>
            </w:pPr>
            <w:r w:rsidRPr="00AC6DA8">
              <w:rPr>
                <w:szCs w:val="20"/>
              </w:rPr>
              <w:t xml:space="preserve">____________________ </w:t>
            </w:r>
          </w:p>
        </w:tc>
      </w:tr>
    </w:tbl>
    <w:p w:rsidR="0036577D" w:rsidRPr="00936AA6" w:rsidRDefault="0036577D" w:rsidP="00356D46">
      <w:pPr>
        <w:rPr>
          <w:b/>
        </w:rPr>
      </w:pPr>
    </w:p>
    <w:sectPr w:rsidR="0036577D" w:rsidRPr="00936AA6" w:rsidSect="00936AA6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45" w:rsidRDefault="00A87445">
      <w:r>
        <w:separator/>
      </w:r>
    </w:p>
  </w:endnote>
  <w:endnote w:type="continuationSeparator" w:id="0">
    <w:p w:rsidR="00A87445" w:rsidRDefault="00A8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45" w:rsidRDefault="00A87445">
      <w:r>
        <w:separator/>
      </w:r>
    </w:p>
  </w:footnote>
  <w:footnote w:type="continuationSeparator" w:id="0">
    <w:p w:rsidR="00A87445" w:rsidRDefault="00A8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359"/>
    <w:multiLevelType w:val="hybridMultilevel"/>
    <w:tmpl w:val="09F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3E1"/>
    <w:multiLevelType w:val="hybridMultilevel"/>
    <w:tmpl w:val="58B8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2EAC"/>
    <w:multiLevelType w:val="hybridMultilevel"/>
    <w:tmpl w:val="997EFC42"/>
    <w:lvl w:ilvl="0" w:tplc="11868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34B0"/>
    <w:multiLevelType w:val="multilevel"/>
    <w:tmpl w:val="9DA075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hint="default"/>
      </w:rPr>
    </w:lvl>
  </w:abstractNum>
  <w:abstractNum w:abstractNumId="4">
    <w:nsid w:val="2A6C2232"/>
    <w:multiLevelType w:val="hybridMultilevel"/>
    <w:tmpl w:val="28DCE6CA"/>
    <w:lvl w:ilvl="0" w:tplc="3F2E357C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9F284E"/>
    <w:multiLevelType w:val="hybridMultilevel"/>
    <w:tmpl w:val="534870F4"/>
    <w:lvl w:ilvl="0" w:tplc="3F2E357C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FC22C44"/>
    <w:multiLevelType w:val="hybridMultilevel"/>
    <w:tmpl w:val="4C4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CE91C0B"/>
    <w:multiLevelType w:val="multilevel"/>
    <w:tmpl w:val="FBFA4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601"/>
    <w:rsid w:val="0000143B"/>
    <w:rsid w:val="0000551C"/>
    <w:rsid w:val="000274F2"/>
    <w:rsid w:val="00050CC4"/>
    <w:rsid w:val="0009698E"/>
    <w:rsid w:val="000B018F"/>
    <w:rsid w:val="000C50C1"/>
    <w:rsid w:val="001167A6"/>
    <w:rsid w:val="00126C43"/>
    <w:rsid w:val="001354C1"/>
    <w:rsid w:val="00167E61"/>
    <w:rsid w:val="00184795"/>
    <w:rsid w:val="00191740"/>
    <w:rsid w:val="001919D5"/>
    <w:rsid w:val="001B3347"/>
    <w:rsid w:val="001B3792"/>
    <w:rsid w:val="001C0E76"/>
    <w:rsid w:val="001E4BAF"/>
    <w:rsid w:val="001E4ED5"/>
    <w:rsid w:val="00204560"/>
    <w:rsid w:val="00233601"/>
    <w:rsid w:val="002456F1"/>
    <w:rsid w:val="00247B66"/>
    <w:rsid w:val="00267C6E"/>
    <w:rsid w:val="00271988"/>
    <w:rsid w:val="00277428"/>
    <w:rsid w:val="0028509F"/>
    <w:rsid w:val="00290986"/>
    <w:rsid w:val="002A5CF2"/>
    <w:rsid w:val="002E03CA"/>
    <w:rsid w:val="002E48A6"/>
    <w:rsid w:val="00304B6D"/>
    <w:rsid w:val="0030724E"/>
    <w:rsid w:val="003140F6"/>
    <w:rsid w:val="00346971"/>
    <w:rsid w:val="003526A4"/>
    <w:rsid w:val="00356D46"/>
    <w:rsid w:val="0036577D"/>
    <w:rsid w:val="003669A7"/>
    <w:rsid w:val="00396CF9"/>
    <w:rsid w:val="003A543B"/>
    <w:rsid w:val="003B4215"/>
    <w:rsid w:val="003D34CD"/>
    <w:rsid w:val="003F5BAC"/>
    <w:rsid w:val="004256EA"/>
    <w:rsid w:val="00446715"/>
    <w:rsid w:val="00475BB6"/>
    <w:rsid w:val="004D082B"/>
    <w:rsid w:val="00535656"/>
    <w:rsid w:val="00542120"/>
    <w:rsid w:val="0056641B"/>
    <w:rsid w:val="00586340"/>
    <w:rsid w:val="00590ED5"/>
    <w:rsid w:val="005A53B8"/>
    <w:rsid w:val="005B25BF"/>
    <w:rsid w:val="005C59AC"/>
    <w:rsid w:val="005E319D"/>
    <w:rsid w:val="005E66A6"/>
    <w:rsid w:val="005F2AE8"/>
    <w:rsid w:val="005F50BF"/>
    <w:rsid w:val="006009C6"/>
    <w:rsid w:val="0060634A"/>
    <w:rsid w:val="00606987"/>
    <w:rsid w:val="00607C9F"/>
    <w:rsid w:val="00627410"/>
    <w:rsid w:val="006662E0"/>
    <w:rsid w:val="006D283E"/>
    <w:rsid w:val="00707D86"/>
    <w:rsid w:val="00712207"/>
    <w:rsid w:val="00736148"/>
    <w:rsid w:val="007A0819"/>
    <w:rsid w:val="007B4797"/>
    <w:rsid w:val="007C3826"/>
    <w:rsid w:val="007C6289"/>
    <w:rsid w:val="007E4733"/>
    <w:rsid w:val="0080260B"/>
    <w:rsid w:val="00810151"/>
    <w:rsid w:val="00832456"/>
    <w:rsid w:val="0088149F"/>
    <w:rsid w:val="00892FB4"/>
    <w:rsid w:val="00893F83"/>
    <w:rsid w:val="008A0B0F"/>
    <w:rsid w:val="009008FD"/>
    <w:rsid w:val="009057C8"/>
    <w:rsid w:val="009239C2"/>
    <w:rsid w:val="00927A98"/>
    <w:rsid w:val="00936AA6"/>
    <w:rsid w:val="009479F7"/>
    <w:rsid w:val="009500DA"/>
    <w:rsid w:val="009C2578"/>
    <w:rsid w:val="009C6CF1"/>
    <w:rsid w:val="009E76F7"/>
    <w:rsid w:val="009F3DE4"/>
    <w:rsid w:val="00A41891"/>
    <w:rsid w:val="00A448E3"/>
    <w:rsid w:val="00A4522A"/>
    <w:rsid w:val="00A73080"/>
    <w:rsid w:val="00A87445"/>
    <w:rsid w:val="00AC6DA8"/>
    <w:rsid w:val="00AE1608"/>
    <w:rsid w:val="00B0244D"/>
    <w:rsid w:val="00B5165F"/>
    <w:rsid w:val="00B7037F"/>
    <w:rsid w:val="00B83329"/>
    <w:rsid w:val="00BB476C"/>
    <w:rsid w:val="00BC4A7C"/>
    <w:rsid w:val="00BC5CBA"/>
    <w:rsid w:val="00BD17AA"/>
    <w:rsid w:val="00BE2CF1"/>
    <w:rsid w:val="00BE7D01"/>
    <w:rsid w:val="00BF3DF5"/>
    <w:rsid w:val="00C20CF0"/>
    <w:rsid w:val="00C21EA5"/>
    <w:rsid w:val="00C27F46"/>
    <w:rsid w:val="00C54530"/>
    <w:rsid w:val="00C7084B"/>
    <w:rsid w:val="00C74DEC"/>
    <w:rsid w:val="00C77DCF"/>
    <w:rsid w:val="00C8137C"/>
    <w:rsid w:val="00C9323C"/>
    <w:rsid w:val="00C9329B"/>
    <w:rsid w:val="00C9445C"/>
    <w:rsid w:val="00CE2815"/>
    <w:rsid w:val="00D0664F"/>
    <w:rsid w:val="00D73876"/>
    <w:rsid w:val="00D953E4"/>
    <w:rsid w:val="00DB4F26"/>
    <w:rsid w:val="00DD3F8E"/>
    <w:rsid w:val="00DE2920"/>
    <w:rsid w:val="00E1380E"/>
    <w:rsid w:val="00E2558A"/>
    <w:rsid w:val="00E34991"/>
    <w:rsid w:val="00E622AD"/>
    <w:rsid w:val="00E657FB"/>
    <w:rsid w:val="00EA0C3B"/>
    <w:rsid w:val="00EB422E"/>
    <w:rsid w:val="00EE2245"/>
    <w:rsid w:val="00EF74E8"/>
    <w:rsid w:val="00F9755A"/>
    <w:rsid w:val="00FC0645"/>
    <w:rsid w:val="00FC2EAC"/>
    <w:rsid w:val="00FD461D"/>
    <w:rsid w:val="00FF092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260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60B"/>
  </w:style>
  <w:style w:type="paragraph" w:styleId="a9">
    <w:name w:val="List Paragraph"/>
    <w:basedOn w:val="a"/>
    <w:link w:val="aa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C8137C"/>
  </w:style>
  <w:style w:type="paragraph" w:styleId="ab">
    <w:name w:val="Body Text"/>
    <w:aliases w:val="bt,Подпись1"/>
    <w:basedOn w:val="a"/>
    <w:link w:val="ac"/>
    <w:uiPriority w:val="99"/>
    <w:rsid w:val="006662E0"/>
    <w:pPr>
      <w:spacing w:after="120"/>
    </w:pPr>
  </w:style>
  <w:style w:type="character" w:customStyle="1" w:styleId="ac">
    <w:name w:val="Основной текст Знак"/>
    <w:aliases w:val="bt Знак,Подпись1 Знак"/>
    <w:link w:val="ab"/>
    <w:uiPriority w:val="99"/>
    <w:rsid w:val="006662E0"/>
    <w:rPr>
      <w:sz w:val="24"/>
      <w:szCs w:val="24"/>
    </w:rPr>
  </w:style>
  <w:style w:type="paragraph" w:customStyle="1" w:styleId="BBSBRFDef">
    <w:name w:val="BBSBRFDef"/>
    <w:basedOn w:val="ad"/>
    <w:qFormat/>
    <w:rsid w:val="008A0B0F"/>
    <w:pPr>
      <w:ind w:firstLine="709"/>
      <w:jc w:val="both"/>
    </w:pPr>
    <w:rPr>
      <w:rFonts w:eastAsia="Calibri"/>
      <w:lang w:eastAsia="en-US"/>
    </w:rPr>
  </w:style>
  <w:style w:type="paragraph" w:styleId="ad">
    <w:name w:val="No Spacing"/>
    <w:uiPriority w:val="1"/>
    <w:qFormat/>
    <w:rsid w:val="008A0B0F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349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260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60B"/>
  </w:style>
  <w:style w:type="paragraph" w:styleId="a9">
    <w:name w:val="List Paragraph"/>
    <w:basedOn w:val="a"/>
    <w:link w:val="aa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C8137C"/>
  </w:style>
  <w:style w:type="paragraph" w:styleId="ab">
    <w:name w:val="Body Text"/>
    <w:aliases w:val="bt,Подпись1"/>
    <w:basedOn w:val="a"/>
    <w:link w:val="ac"/>
    <w:uiPriority w:val="99"/>
    <w:rsid w:val="006662E0"/>
    <w:pPr>
      <w:spacing w:after="120"/>
    </w:pPr>
  </w:style>
  <w:style w:type="character" w:customStyle="1" w:styleId="ac">
    <w:name w:val="Основной текст Знак"/>
    <w:aliases w:val="bt Знак,Подпись1 Знак"/>
    <w:link w:val="ab"/>
    <w:uiPriority w:val="99"/>
    <w:rsid w:val="006662E0"/>
    <w:rPr>
      <w:sz w:val="24"/>
      <w:szCs w:val="24"/>
    </w:rPr>
  </w:style>
  <w:style w:type="paragraph" w:customStyle="1" w:styleId="BBSBRFDef">
    <w:name w:val="BBSBRFDef"/>
    <w:basedOn w:val="ad"/>
    <w:qFormat/>
    <w:rsid w:val="008A0B0F"/>
    <w:pPr>
      <w:ind w:firstLine="709"/>
      <w:jc w:val="both"/>
    </w:pPr>
    <w:rPr>
      <w:rFonts w:eastAsia="Calibri"/>
      <w:lang w:eastAsia="en-US"/>
    </w:rPr>
  </w:style>
  <w:style w:type="paragraph" w:styleId="ad">
    <w:name w:val="No Spacing"/>
    <w:uiPriority w:val="1"/>
    <w:qFormat/>
    <w:rsid w:val="008A0B0F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0808-AE97-49C9-910A-F854BCF2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Fond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Вика</dc:creator>
  <cp:lastModifiedBy>admin</cp:lastModifiedBy>
  <cp:revision>63</cp:revision>
  <cp:lastPrinted>2017-04-21T07:15:00Z</cp:lastPrinted>
  <dcterms:created xsi:type="dcterms:W3CDTF">2015-10-02T06:27:00Z</dcterms:created>
  <dcterms:modified xsi:type="dcterms:W3CDTF">2019-05-29T06:07:00Z</dcterms:modified>
</cp:coreProperties>
</file>